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16C" w:rsidRPr="00C8616C" w:rsidRDefault="00F663DD" w:rsidP="00C8616C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140335</wp:posOffset>
                </wp:positionH>
                <wp:positionV relativeFrom="paragraph">
                  <wp:posOffset>163195</wp:posOffset>
                </wp:positionV>
                <wp:extent cx="4971415" cy="1034415"/>
                <wp:effectExtent l="6985" t="1270" r="3175" b="254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71415" cy="10344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63DD" w:rsidRDefault="00F663DD" w:rsidP="00F663DD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华文中宋" w:eastAsia="华文中宋" w:hAnsi="华文中宋" w:hint="eastAsia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>滕州市西岗镇人民政府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1.05pt;margin-top:12.85pt;width:391.45pt;height:8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" filled="f" stroked="f">
                <v:stroke joinstyle="round"/>
                <o:lock v:ext="edit" shapetype="t"/>
                <v:textbox style="mso-fit-shape-to-text:t">
                  <w:txbxContent>
                    <w:p w:rsidR="00F663DD" w:rsidRDefault="00F663DD" w:rsidP="00F663DD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华文中宋" w:eastAsia="华文中宋" w:hAnsi="华文中宋" w:hint="eastAsia"/>
                          <w:b/>
                          <w:bCs/>
                          <w:color w:val="FF0000"/>
                          <w:sz w:val="72"/>
                          <w:szCs w:val="72"/>
                        </w:rPr>
                        <w:t>滕州市西岗镇人民政府</w:t>
                      </w:r>
                    </w:p>
                  </w:txbxContent>
                </v:textbox>
              </v:shape>
            </w:pict>
          </mc:Fallback>
        </mc:AlternateContent>
      </w:r>
    </w:p>
    <w:p w:rsidR="00C8616C" w:rsidRPr="00C8616C" w:rsidRDefault="00C8616C" w:rsidP="00C8616C">
      <w:pPr>
        <w:jc w:val="center"/>
        <w:rPr>
          <w:sz w:val="32"/>
          <w:szCs w:val="32"/>
        </w:rPr>
      </w:pPr>
    </w:p>
    <w:p w:rsidR="00C8616C" w:rsidRPr="00C8616C" w:rsidRDefault="00C8616C" w:rsidP="00C8616C">
      <w:pPr>
        <w:jc w:val="center"/>
        <w:rPr>
          <w:sz w:val="32"/>
          <w:szCs w:val="32"/>
        </w:rPr>
      </w:pPr>
    </w:p>
    <w:p w:rsidR="00C8616C" w:rsidRDefault="00C8616C" w:rsidP="00C8616C">
      <w:pPr>
        <w:adjustRightInd w:val="0"/>
        <w:snapToGrid w:val="0"/>
        <w:spacing w:line="600" w:lineRule="exact"/>
        <w:jc w:val="center"/>
        <w:rPr>
          <w:rFonts w:ascii="仿宋_GB2312" w:hAnsi="仿宋" w:cs="仿宋"/>
        </w:rPr>
      </w:pP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西政发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〔</w:t>
      </w:r>
      <w:r w:rsidR="00F663DD">
        <w:rPr>
          <w:rFonts w:ascii="仿宋_GB2312" w:eastAsia="仿宋_GB2312" w:hAnsi="仿宋" w:cs="仿宋" w:hint="eastAsia"/>
          <w:sz w:val="32"/>
          <w:szCs w:val="32"/>
        </w:rPr>
        <w:t>20</w:t>
      </w:r>
      <w:r w:rsidR="00F663DD">
        <w:rPr>
          <w:rFonts w:ascii="仿宋_GB2312" w:eastAsia="仿宋_GB2312" w:hAnsi="仿宋" w:cs="仿宋"/>
          <w:sz w:val="32"/>
          <w:szCs w:val="32"/>
        </w:rPr>
        <w:t>19</w:t>
      </w:r>
      <w:r>
        <w:rPr>
          <w:rFonts w:ascii="仿宋_GB2312" w:eastAsia="仿宋_GB2312" w:hAnsi="仿宋" w:cs="仿宋" w:hint="eastAsia"/>
          <w:sz w:val="32"/>
          <w:szCs w:val="32"/>
        </w:rPr>
        <w:t>〕</w:t>
      </w:r>
      <w:r w:rsidR="003B7E0E">
        <w:rPr>
          <w:rFonts w:ascii="仿宋_GB2312" w:eastAsia="仿宋_GB2312" w:hAnsi="仿宋" w:cs="仿宋"/>
          <w:sz w:val="32"/>
          <w:szCs w:val="32"/>
        </w:rPr>
        <w:t>7</w:t>
      </w:r>
      <w:r>
        <w:rPr>
          <w:rFonts w:ascii="仿宋_GB2312" w:eastAsia="仿宋_GB2312" w:hAnsi="仿宋" w:cs="仿宋" w:hint="eastAsia"/>
          <w:sz w:val="32"/>
          <w:szCs w:val="32"/>
        </w:rPr>
        <w:t>号</w:t>
      </w:r>
    </w:p>
    <w:p w:rsidR="00C8616C" w:rsidRPr="00C8616C" w:rsidRDefault="00C8616C" w:rsidP="00C8616C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145694</wp:posOffset>
                </wp:positionV>
                <wp:extent cx="5143500" cy="635"/>
                <wp:effectExtent l="0" t="19050" r="0" b="3746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4350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11558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5pt,11.45pt" to="409.7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" strokecolor="red" strokeweight="2.25pt">
                <o:lock v:ext="edit" shapetype="f"/>
              </v:line>
            </w:pict>
          </mc:Fallback>
        </mc:AlternateContent>
      </w:r>
    </w:p>
    <w:p w:rsidR="003B7E0E" w:rsidRDefault="003B7E0E" w:rsidP="003B7E0E">
      <w:pPr>
        <w:spacing w:line="660" w:lineRule="exact"/>
        <w:jc w:val="center"/>
        <w:rPr>
          <w:rFonts w:ascii="方正大标宋简体" w:eastAsia="方正大标宋简体" w:hAnsi="方正大标宋简体" w:cs="方正大标宋简体"/>
          <w:color w:val="000000"/>
          <w:kern w:val="0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44"/>
          <w:szCs w:val="44"/>
        </w:rPr>
        <w:t>西岗镇人民政府</w:t>
      </w:r>
    </w:p>
    <w:p w:rsidR="003B7E0E" w:rsidRDefault="003B7E0E" w:rsidP="003B7E0E">
      <w:pPr>
        <w:spacing w:line="660" w:lineRule="exact"/>
        <w:jc w:val="center"/>
        <w:rPr>
          <w:rFonts w:ascii="方正大标宋简体" w:eastAsia="方正大标宋简体" w:hAnsi="方正大标宋简体" w:cs="方正大标宋简体"/>
          <w:color w:val="000000"/>
          <w:kern w:val="0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44"/>
          <w:szCs w:val="44"/>
        </w:rPr>
        <w:t>关于开展农村冬季取暖安全隐患排查整治的紧急通知</w:t>
      </w:r>
    </w:p>
    <w:p w:rsidR="003B7E0E" w:rsidRDefault="003B7E0E" w:rsidP="003B7E0E">
      <w:pPr>
        <w:spacing w:line="580" w:lineRule="exact"/>
        <w:rPr>
          <w:rFonts w:ascii="宋体" w:hAnsi="宋体" w:cs="宋体"/>
          <w:sz w:val="32"/>
          <w:szCs w:val="32"/>
        </w:rPr>
      </w:pPr>
    </w:p>
    <w:p w:rsidR="003B7E0E" w:rsidRDefault="003B7E0E" w:rsidP="003B7E0E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各党总支、村（居）:</w:t>
      </w:r>
    </w:p>
    <w:p w:rsidR="003B7E0E" w:rsidRDefault="003B7E0E" w:rsidP="003B7E0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12月15日，菏泽市巨野县大义镇程庄村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农户屋内烧玉米芯取暖发生一氧化碳中毒，造成6人死亡。龚正省长专门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批示，要求各级各部门认真抓好落实，加强宣传引导，提高全社会安全防护能力，深入开展冬季取暖安全隐患排查整治，确保人民群众生命财产安全。为贯彻落实上级领导批示精神，吸取事故教育，为确保农村冬季取暖安全，经镇党委政府研究，现就抓好农村冬季取暖安全隐患排查整治通知如下：</w:t>
      </w:r>
    </w:p>
    <w:p w:rsidR="003B7E0E" w:rsidRDefault="003B7E0E" w:rsidP="003B7E0E">
      <w:pPr>
        <w:spacing w:line="600" w:lineRule="exact"/>
        <w:ind w:firstLineChars="200" w:firstLine="640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一、提高认识，严格落实责任</w:t>
      </w:r>
    </w:p>
    <w:p w:rsidR="003B7E0E" w:rsidRDefault="003B7E0E" w:rsidP="003B7E0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进入冬季以后，农村冬季取暖特别是农户在室内采用木碳或煤</w:t>
      </w:r>
      <w:r w:rsidR="00C917FA">
        <w:rPr>
          <w:rFonts w:ascii="仿宋_GB2312" w:eastAsia="仿宋_GB2312" w:hAnsi="仿宋_GB2312" w:cs="仿宋_GB2312" w:hint="eastAsia"/>
          <w:sz w:val="32"/>
          <w:szCs w:val="32"/>
        </w:rPr>
        <w:t>炭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取暖，因室内空间狭窄，通风不畅，木炭或煤炭燃烧不充分，造成室内一氧化碳聚集，极易发生一氧化碳中毒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事故。各党总支、村（居）要高度重视取暖安全工作，全面摸排影响农村冬季取暖安全的有害因素，坚决遏制农村冬季取暖中毒事故发生。</w:t>
      </w:r>
    </w:p>
    <w:p w:rsidR="003B7E0E" w:rsidRDefault="003B7E0E" w:rsidP="003B7E0E">
      <w:pPr>
        <w:spacing w:line="600" w:lineRule="exact"/>
        <w:ind w:firstLineChars="200" w:firstLine="640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二、全面排查整治，明确整改措施</w:t>
      </w:r>
    </w:p>
    <w:p w:rsidR="003B7E0E" w:rsidRDefault="003B7E0E" w:rsidP="003B7E0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党总支要立即安排各村组织开展农村冬季取暖安全隐患排查整治，逐村逐户进行拉网式排查，对发现存在的安全隐患立即整改、明确整改措施，确保消除农村冬季取暖安全隐患。加大安全巡查力度，确保维护、处置到位。特别是在下雪、骤冷、大风降温等极端天气发生前，要及时开展全覆盖入户安全检查，做好安全提醒工作，防范取暖中毒事故。</w:t>
      </w:r>
    </w:p>
    <w:p w:rsidR="003B7E0E" w:rsidRDefault="003B7E0E" w:rsidP="003B7E0E">
      <w:pPr>
        <w:spacing w:line="600" w:lineRule="exact"/>
        <w:ind w:firstLineChars="200" w:firstLine="640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 加强宣传教育，提升防范能力</w:t>
      </w:r>
    </w:p>
    <w:p w:rsidR="003B7E0E" w:rsidRDefault="003B7E0E" w:rsidP="003B7E0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要广泛利用广播、文化大院、党员群众活动室、农家书屋、文体活动室等媒介及场所，宜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传安全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取暖常识，剖析典型事故案例，播发提示警示信息、普及应息处置知识。要印制农村冬季取暖安全知识明白纸，让广大农户熟悉掌握冬季取暖安全知识和防范措施。</w:t>
      </w:r>
    </w:p>
    <w:p w:rsidR="003B7E0E" w:rsidRDefault="003B7E0E" w:rsidP="003B7E0E">
      <w:pPr>
        <w:spacing w:line="600" w:lineRule="exact"/>
        <w:ind w:firstLineChars="200" w:firstLine="640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四、提升应急能力，加强督导检查</w:t>
      </w:r>
    </w:p>
    <w:p w:rsidR="003B7E0E" w:rsidRDefault="003B7E0E" w:rsidP="003B7E0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要制定农村冬季取暖应急预案，明确重点对象、处置措施、责任人员，设置应急电话并确保畅通，建立与卫生医疗机构等其他单位部门的有效沟通渠道，全力提高应对突发事件的能力和水平。要认真抓好农村冬季取暖安全隐患排查整治工作，确保农户安全取暖过冬，镇近日将组织人员深入各党总支、村（居）进行安全隐患排查情况进行督导检查</w:t>
      </w:r>
    </w:p>
    <w:sectPr w:rsidR="003B7E0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77D" w:rsidRDefault="005D777D" w:rsidP="001C4E2E">
      <w:r>
        <w:separator/>
      </w:r>
    </w:p>
  </w:endnote>
  <w:endnote w:type="continuationSeparator" w:id="0">
    <w:p w:rsidR="005D777D" w:rsidRDefault="005D777D" w:rsidP="001C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63782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663DD" w:rsidRDefault="00F663DD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4F9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4F9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663DD" w:rsidRDefault="00F663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77D" w:rsidRDefault="005D777D" w:rsidP="001C4E2E">
      <w:r>
        <w:separator/>
      </w:r>
    </w:p>
  </w:footnote>
  <w:footnote w:type="continuationSeparator" w:id="0">
    <w:p w:rsidR="005D777D" w:rsidRDefault="005D777D" w:rsidP="001C4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16C"/>
    <w:rsid w:val="00054875"/>
    <w:rsid w:val="001C4E2E"/>
    <w:rsid w:val="003B7E0E"/>
    <w:rsid w:val="0045355C"/>
    <w:rsid w:val="00541D33"/>
    <w:rsid w:val="005D777D"/>
    <w:rsid w:val="005F52F6"/>
    <w:rsid w:val="006A1DC2"/>
    <w:rsid w:val="00A17E21"/>
    <w:rsid w:val="00C14F97"/>
    <w:rsid w:val="00C8616C"/>
    <w:rsid w:val="00C917FA"/>
    <w:rsid w:val="00F6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1C5ABB"/>
  <w15:docId w15:val="{727723B2-A885-4A09-B230-AB20E6CB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4E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4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4E2E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F663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742</Characters>
  <Application>Microsoft Office Word</Application>
  <DocSecurity>0</DocSecurity>
  <Lines>6</Lines>
  <Paragraphs>1</Paragraphs>
  <ScaleCrop>false</ScaleCrop>
  <Company>Microsoft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2023-12-18T03:24:00Z</cp:lastPrinted>
  <dcterms:created xsi:type="dcterms:W3CDTF">2022-11-19T02:30:00Z</dcterms:created>
  <dcterms:modified xsi:type="dcterms:W3CDTF">2023-12-18T03:25:00Z</dcterms:modified>
</cp:coreProperties>
</file>